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color w:val="auto"/>
          <w:sz w:val="36"/>
          <w:szCs w:val="36"/>
          <w:highlight w:val="none"/>
        </w:rPr>
      </w:pPr>
      <w:r>
        <w:rPr>
          <w:rFonts w:hint="eastAsia" w:ascii="黑体" w:eastAsia="黑体"/>
          <w:b/>
          <w:color w:val="auto"/>
          <w:sz w:val="36"/>
          <w:szCs w:val="36"/>
          <w:highlight w:val="none"/>
        </w:rPr>
        <w:t>全日制教育硕士（</w:t>
      </w:r>
      <w:bookmarkStart w:id="0" w:name="_GoBack"/>
      <w:bookmarkEnd w:id="0"/>
      <w:r>
        <w:rPr>
          <w:rFonts w:hint="eastAsia" w:ascii="黑体" w:eastAsia="黑体"/>
          <w:b/>
          <w:color w:val="auto"/>
          <w:sz w:val="36"/>
          <w:szCs w:val="36"/>
          <w:highlight w:val="none"/>
        </w:rPr>
        <w:t>职业技术教育）专业学位研究生</w:t>
      </w:r>
    </w:p>
    <w:p>
      <w:pPr>
        <w:jc w:val="center"/>
        <w:rPr>
          <w:rFonts w:hint="eastAsia" w:ascii="黑体" w:eastAsia="黑体"/>
          <w:b/>
          <w:color w:val="auto"/>
          <w:sz w:val="30"/>
          <w:szCs w:val="30"/>
          <w:highlight w:val="none"/>
        </w:rPr>
      </w:pPr>
      <w:r>
        <w:rPr>
          <w:rFonts w:hint="eastAsia" w:ascii="黑体" w:eastAsia="黑体"/>
          <w:b/>
          <w:color w:val="auto"/>
          <w:sz w:val="36"/>
          <w:szCs w:val="36"/>
          <w:highlight w:val="none"/>
        </w:rPr>
        <w:t>教学计划</w:t>
      </w:r>
      <w:r>
        <w:rPr>
          <w:rFonts w:hint="eastAsia" w:ascii="黑体" w:eastAsia="黑体"/>
          <w:b/>
          <w:color w:val="auto"/>
          <w:sz w:val="30"/>
          <w:szCs w:val="30"/>
          <w:highlight w:val="none"/>
        </w:rPr>
        <w:t>（</w:t>
      </w:r>
      <w:r>
        <w:rPr>
          <w:rFonts w:hint="eastAsia" w:ascii="黑体" w:eastAsia="黑体"/>
          <w:b/>
          <w:color w:val="auto"/>
          <w:sz w:val="30"/>
          <w:szCs w:val="30"/>
          <w:highlight w:val="none"/>
          <w:u w:val="single"/>
        </w:rPr>
        <w:t>资源环境</w:t>
      </w:r>
      <w:r>
        <w:rPr>
          <w:rFonts w:hint="eastAsia" w:ascii="黑体" w:eastAsia="黑体"/>
          <w:b/>
          <w:color w:val="auto"/>
          <w:sz w:val="30"/>
          <w:szCs w:val="30"/>
          <w:highlight w:val="none"/>
        </w:rPr>
        <w:t>方向）</w:t>
      </w:r>
    </w:p>
    <w:tbl>
      <w:tblPr>
        <w:tblStyle w:val="3"/>
        <w:tblpPr w:leftFromText="180" w:rightFromText="180" w:vertAnchor="text" w:horzAnchor="page" w:tblpX="1777" w:tblpY="38"/>
        <w:tblOverlap w:val="never"/>
        <w:tblW w:w="8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395"/>
        <w:gridCol w:w="1969"/>
        <w:gridCol w:w="320"/>
        <w:gridCol w:w="880"/>
        <w:gridCol w:w="762"/>
        <w:gridCol w:w="715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eastAsia="仿宋"/>
                <w:b/>
                <w:bCs/>
                <w:color w:val="auto"/>
                <w:szCs w:val="21"/>
                <w:highlight w:val="none"/>
              </w:rPr>
              <w:t>课程</w:t>
            </w:r>
          </w:p>
          <w:p>
            <w:pPr>
              <w:spacing w:line="320" w:lineRule="exact"/>
              <w:jc w:val="center"/>
              <w:rPr>
                <w:rFonts w:eastAsia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eastAsia="仿宋"/>
                <w:b/>
                <w:bCs/>
                <w:color w:val="auto"/>
                <w:szCs w:val="21"/>
                <w:highlight w:val="none"/>
              </w:rPr>
              <w:t>类别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eastAsia="仿宋"/>
                <w:b/>
                <w:bCs/>
                <w:color w:val="auto"/>
                <w:szCs w:val="21"/>
                <w:highlight w:val="none"/>
              </w:rPr>
              <w:t>课  程  名  称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eastAsia="仿宋"/>
                <w:b/>
                <w:bCs/>
                <w:color w:val="auto"/>
                <w:szCs w:val="21"/>
                <w:highlight w:val="none"/>
              </w:rPr>
              <w:t>学分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eastAsia="仿宋"/>
                <w:b/>
                <w:bCs/>
                <w:color w:val="auto"/>
                <w:szCs w:val="21"/>
                <w:highlight w:val="none"/>
              </w:rPr>
              <w:t>总学时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eastAsia="仿宋"/>
                <w:b/>
                <w:bCs/>
                <w:color w:val="auto"/>
                <w:szCs w:val="21"/>
                <w:highlight w:val="none"/>
              </w:rPr>
              <w:t>考核</w:t>
            </w:r>
          </w:p>
          <w:p>
            <w:pPr>
              <w:spacing w:line="320" w:lineRule="exact"/>
              <w:jc w:val="center"/>
              <w:rPr>
                <w:rFonts w:eastAsia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eastAsia="仿宋"/>
                <w:b/>
                <w:bCs/>
                <w:color w:val="auto"/>
                <w:szCs w:val="21"/>
                <w:highlight w:val="none"/>
              </w:rPr>
              <w:t>方式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eastAsia="仿宋"/>
                <w:b/>
                <w:bCs/>
                <w:color w:val="auto"/>
                <w:szCs w:val="21"/>
                <w:highlight w:val="none"/>
              </w:rPr>
              <w:t>开课学期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eastAsia="仿宋"/>
                <w:b/>
                <w:bCs/>
                <w:color w:val="auto"/>
                <w:szCs w:val="21"/>
                <w:highlight w:val="none"/>
              </w:rPr>
              <w:t>开课学院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学位基础课程</w:t>
            </w:r>
          </w:p>
          <w:p>
            <w:pPr>
              <w:spacing w:line="320" w:lineRule="exact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（12学分）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外语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34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考试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政治理论（含教师职业道德教育）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34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考试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政治学院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教育原理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34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考试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课程与教学论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34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考试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教育研究方法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34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考试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8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心理发展与教育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34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考试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专业必修课程</w:t>
            </w:r>
          </w:p>
          <w:p>
            <w:pPr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（10学分）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仿宋"/>
                <w:color w:val="auto"/>
                <w:sz w:val="18"/>
                <w:szCs w:val="18"/>
                <w:highlight w:val="none"/>
                <w:lang w:eastAsia="zh-CN"/>
              </w:rPr>
              <w:t>学科</w:t>
            </w: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课程开发与教材分析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34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考试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环工学院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18"/>
                <w:szCs w:val="18"/>
                <w:highlight w:val="none"/>
                <w:u w:val="single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仿宋"/>
                <w:color w:val="auto"/>
                <w:sz w:val="18"/>
                <w:szCs w:val="18"/>
                <w:highlight w:val="none"/>
                <w:lang w:eastAsia="zh-CN"/>
              </w:rPr>
              <w:t>学科</w:t>
            </w: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教学设计与案例分析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34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考试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环工学院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18"/>
                <w:szCs w:val="18"/>
                <w:highlight w:val="none"/>
                <w:u w:val="single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现代仪器分析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34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考试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环工学院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18"/>
                <w:szCs w:val="18"/>
                <w:highlight w:val="none"/>
                <w:u w:val="single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环境信息系统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34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考试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环工学院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</w:trPr>
        <w:tc>
          <w:tcPr>
            <w:tcW w:w="8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仿宋"/>
                <w:color w:val="auto"/>
                <w:sz w:val="18"/>
                <w:szCs w:val="18"/>
                <w:highlight w:val="none"/>
                <w:lang w:eastAsia="zh-CN"/>
              </w:rPr>
              <w:t>学科</w:t>
            </w: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发展前沿专题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34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考试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环工学院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专业选修课程</w:t>
            </w:r>
          </w:p>
          <w:p>
            <w:pPr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（6学分）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环境监测进展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34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考查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环工学院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环境污染物处理与处置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34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考查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环工学院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环境修复技术</w:t>
            </w:r>
            <w:r>
              <w:rPr>
                <w:rFonts w:hint="eastAsia" w:eastAsia="仿宋"/>
                <w:color w:val="auto"/>
                <w:sz w:val="18"/>
                <w:szCs w:val="18"/>
                <w:highlight w:val="none"/>
              </w:rPr>
              <w:t>教学法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34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考查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环工学院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环境影响评价</w:t>
            </w:r>
            <w:r>
              <w:rPr>
                <w:rFonts w:hint="eastAsia" w:eastAsia="仿宋"/>
                <w:color w:val="auto"/>
                <w:sz w:val="18"/>
                <w:szCs w:val="18"/>
                <w:highlight w:val="none"/>
              </w:rPr>
              <w:t>教学技术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34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考查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环工学院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班级管理与班主任工作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34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考查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</w:trPr>
        <w:tc>
          <w:tcPr>
            <w:tcW w:w="8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中小学教学管理实务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34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考查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实践</w:t>
            </w:r>
          </w:p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教学</w:t>
            </w:r>
          </w:p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（8学分）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校内实训（包括教学技能训练、微格教学、课例分析等）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不少于1学年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考核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  <w:u w:val="single"/>
              </w:rPr>
            </w:pPr>
            <w:r>
              <w:rPr>
                <w:rFonts w:hint="eastAsia"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环工学院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校外实践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教育见习</w:t>
            </w:r>
          </w:p>
        </w:tc>
        <w:tc>
          <w:tcPr>
            <w:tcW w:w="3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考核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环工学院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教育实习</w:t>
            </w:r>
          </w:p>
        </w:tc>
        <w:tc>
          <w:tcPr>
            <w:tcW w:w="3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考核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环工学院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</w:trPr>
        <w:tc>
          <w:tcPr>
            <w:tcW w:w="8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教育研习</w:t>
            </w:r>
          </w:p>
        </w:tc>
        <w:tc>
          <w:tcPr>
            <w:tcW w:w="3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考核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环工学院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8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学位</w:t>
            </w:r>
          </w:p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论文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rPr>
                <w:rFonts w:ascii="Times New Roman" w:hAnsi="Times New Roman" w:eastAsia="仿宋"/>
                <w:color w:val="auto"/>
                <w:kern w:val="2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kern w:val="2"/>
                <w:highlight w:val="none"/>
              </w:rPr>
              <w:t>开题报告</w:t>
            </w:r>
          </w:p>
        </w:tc>
        <w:tc>
          <w:tcPr>
            <w:tcW w:w="3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考查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  <w:u w:val="singl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环工学院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8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rPr>
                <w:rFonts w:ascii="Times New Roman" w:hAnsi="Times New Roman" w:eastAsia="仿宋"/>
                <w:color w:val="auto"/>
                <w:kern w:val="2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kern w:val="2"/>
                <w:highlight w:val="none"/>
              </w:rPr>
              <w:t>论文写作与答辩</w:t>
            </w:r>
          </w:p>
        </w:tc>
        <w:tc>
          <w:tcPr>
            <w:tcW w:w="3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考查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auto"/>
                <w:sz w:val="18"/>
                <w:szCs w:val="18"/>
                <w:highlight w:val="none"/>
                <w:u w:val="singl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eastAsia="仿宋"/>
                <w:color w:val="auto"/>
                <w:sz w:val="18"/>
                <w:szCs w:val="18"/>
                <w:highlight w:val="none"/>
              </w:rPr>
              <w:t>环工学院</w:t>
            </w:r>
          </w:p>
        </w:tc>
      </w:tr>
    </w:tbl>
    <w:p>
      <w:pPr>
        <w:spacing w:line="500" w:lineRule="exact"/>
        <w:rPr>
          <w:rFonts w:hint="eastAsia" w:ascii="黑体" w:eastAsia="黑体"/>
          <w:b/>
          <w:color w:val="auto"/>
          <w:sz w:val="30"/>
          <w:szCs w:val="30"/>
          <w:highlight w:val="none"/>
        </w:rPr>
      </w:pPr>
    </w:p>
    <w:p>
      <w:pPr>
        <w:rPr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4544F"/>
    <w:rsid w:val="4AA454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qFormat/>
    <w:uiPriority w:val="0"/>
    <w:pPr>
      <w:widowControl/>
      <w:spacing w:before="100" w:beforeAutospacing="1" w:after="100" w:afterAutospacing="1" w:line="288" w:lineRule="atLeast"/>
      <w:jc w:val="left"/>
    </w:pPr>
    <w:rPr>
      <w:rFonts w:ascii="ˎ̥" w:hAnsi="ˎ̥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2017-10-10T08:23:00Z</dcterms:created>
  <dc:creator>Administrator</dc:creator>
  <cp:lastModifiedBy>Administrator</cp:lastModifiedBy>
  <dcterms:modified xsi:type="dcterms:W3CDTF">2017-10-10T08:25:09Z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